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77777777"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CE58A2">
        <w:rPr>
          <w:rFonts w:cs="Arial"/>
          <w:sz w:val="20"/>
          <w:szCs w:val="20"/>
        </w:rPr>
        <w:t>920/410/23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1679FDF8"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CE58A2">
        <w:rPr>
          <w:rFonts w:cs="Arial"/>
          <w:bCs/>
          <w:sz w:val="20"/>
          <w:szCs w:val="20"/>
        </w:rPr>
        <w:t>22 maja 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proofErr w:type="gramStart"/>
      <w:r>
        <w:t>…….</w:t>
      </w:r>
      <w:proofErr w:type="gramEnd"/>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57CB27E8"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7D2CB0">
        <w:t xml:space="preserve"> </w:t>
      </w:r>
      <w:r w:rsidR="00494CC6">
        <w:t>…</w:t>
      </w:r>
      <w:r w:rsidR="009C5A6C" w:rsidRPr="00F34466">
        <w:t>:</w:t>
      </w:r>
      <w:r w:rsidRPr="00F34466">
        <w:t xml:space="preserve"> „</w:t>
      </w:r>
      <w:r w:rsidR="00494CC6">
        <w:t>………………………………………………………………………</w:t>
      </w:r>
      <w:r w:rsidR="007D2CB0">
        <w:t>”</w:t>
      </w:r>
    </w:p>
    <w:p w14:paraId="25037351" w14:textId="5DEC15FB" w:rsidR="0063190C" w:rsidRPr="00F34466" w:rsidRDefault="00C36624" w:rsidP="008923B1">
      <w:pPr>
        <w:pStyle w:val="Nagwek1"/>
        <w:spacing w:before="240" w:after="120" w:line="276" w:lineRule="auto"/>
      </w:pPr>
      <w:r w:rsidRPr="00F34466">
        <w:t>Działania</w:t>
      </w:r>
      <w:r w:rsidR="00494CC6">
        <w:t>: …</w:t>
      </w:r>
      <w:r w:rsidR="00511D4D" w:rsidRPr="00F34466">
        <w:t>:</w:t>
      </w:r>
      <w:r w:rsidRPr="00F34466">
        <w:t xml:space="preserve"> </w:t>
      </w:r>
      <w:r w:rsidR="00412940">
        <w:t>„</w:t>
      </w:r>
      <w:r w:rsidR="00494CC6">
        <w:t>………………………………………………………………………………</w:t>
      </w:r>
      <w:proofErr w:type="gramStart"/>
      <w:r w:rsidR="00494CC6">
        <w:t>…….</w:t>
      </w:r>
      <w:proofErr w:type="gramEnd"/>
      <w:r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proofErr w:type="gramStart"/>
      <w:r>
        <w:t>…….</w:t>
      </w:r>
      <w:proofErr w:type="gramEnd"/>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proofErr w:type="gramStart"/>
      <w:r w:rsidR="615888C6" w:rsidRPr="00F34466">
        <w:rPr>
          <w:b w:val="0"/>
          <w:bCs w:val="0"/>
        </w:rPr>
        <w:t>…….</w:t>
      </w:r>
      <w:proofErr w:type="gramEnd"/>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1235160D"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w:t>
      </w:r>
      <w:r w:rsidRPr="00787CFE">
        <w:rPr>
          <w:rFonts w:cs="Arial"/>
          <w:color w:val="000000"/>
        </w:rPr>
        <w:lastRenderedPageBreak/>
        <w:t xml:space="preserve">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26EAFFFD"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xml:space="preserve">) 2018/1046 z dnia 18 lipca 2018 r. w sprawie zasad finansowych mających zastosowanie do budżetu ogólnego Unii, zmieniające rozporządzenie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77777777"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1407/2013 z dnia 18 grudnia 2013 r. w sprawie stosowania art. 107 i 108 Traktatu o funkcjonowaniu Unii Europejskiej do pomocy de </w:t>
      </w:r>
      <w:proofErr w:type="spellStart"/>
      <w:r w:rsidRPr="00787CFE">
        <w:rPr>
          <w:rFonts w:cs="Arial"/>
        </w:rPr>
        <w:t>minimis</w:t>
      </w:r>
      <w:proofErr w:type="spellEnd"/>
      <w:r w:rsidRPr="00787CFE">
        <w:rPr>
          <w:rFonts w:cs="Arial"/>
        </w:rPr>
        <w:t xml:space="preserve">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xml:space="preserve">, z </w:t>
      </w:r>
      <w:proofErr w:type="spellStart"/>
      <w:r w:rsidR="000B3DC7" w:rsidRPr="00787CFE">
        <w:rPr>
          <w:rFonts w:cs="Arial"/>
        </w:rPr>
        <w:t>późn</w:t>
      </w:r>
      <w:proofErr w:type="spellEnd"/>
      <w:r w:rsidR="000B3DC7" w:rsidRPr="00787CFE">
        <w:rPr>
          <w:rFonts w:cs="Arial"/>
        </w:rPr>
        <w:t>. zm.</w:t>
      </w:r>
      <w:r w:rsidRPr="00787CFE">
        <w:rPr>
          <w:rFonts w:cs="Arial"/>
        </w:rPr>
        <w:t>);</w:t>
      </w:r>
    </w:p>
    <w:p w14:paraId="451F807A" w14:textId="77777777"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delegowanego Komisji (UE) nr 240/2014 z dnia 7 stycznia 2014 r. w sprawie europejskiego kodeksu postępowania w zakresie partnerstwa w ramach europejskich funduszy strukturalnych i inwestycyjnych (Dz. Urz. UE L 74 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29383354"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EC3DDB" w:rsidRPr="00787CFE">
        <w:rPr>
          <w:rFonts w:cs="Arial"/>
        </w:rPr>
        <w:t>202</w:t>
      </w:r>
      <w:r w:rsidR="00AE42B0" w:rsidRPr="00787CFE">
        <w:rPr>
          <w:rFonts w:cs="Arial"/>
        </w:rPr>
        <w:t>2</w:t>
      </w:r>
      <w:r w:rsidR="00EC3DDB" w:rsidRPr="00787CFE">
        <w:rPr>
          <w:rFonts w:cs="Arial"/>
        </w:rPr>
        <w:t xml:space="preserve"> </w:t>
      </w:r>
      <w:r w:rsidRPr="00787CFE">
        <w:rPr>
          <w:rFonts w:cs="Arial"/>
        </w:rPr>
        <w:t>r. poz.</w:t>
      </w:r>
      <w:r w:rsidR="00CF46F4" w:rsidRPr="00787CFE">
        <w:rPr>
          <w:rFonts w:cs="Arial"/>
        </w:rPr>
        <w:t xml:space="preserve"> </w:t>
      </w:r>
      <w:r w:rsidR="00AE42B0" w:rsidRPr="00787CFE">
        <w:rPr>
          <w:rFonts w:cs="Arial"/>
        </w:rPr>
        <w:t>1634</w:t>
      </w:r>
      <w:r w:rsidR="00A148F6" w:rsidRPr="00787CFE">
        <w:rPr>
          <w:rFonts w:cs="Arial"/>
        </w:rPr>
        <w:t xml:space="preserve">, 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05F8B09"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Pr="00787CFE">
        <w:rPr>
          <w:rFonts w:cs="Arial"/>
        </w:rPr>
        <w:t>.</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5CFA1E4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lastRenderedPageBreak/>
        <w:t>„Beneficjen</w:t>
      </w:r>
      <w:r w:rsidR="32584854" w:rsidRPr="097C06DF">
        <w:rPr>
          <w:rFonts w:cs="Arial"/>
          <w:b/>
          <w:bCs/>
        </w:rPr>
        <w:t>t</w:t>
      </w:r>
      <w:r w:rsidRPr="097C06DF">
        <w:rPr>
          <w:rFonts w:cs="Arial"/>
          <w:b/>
          <w:bCs/>
        </w:rPr>
        <w:t>”</w:t>
      </w:r>
      <w:r w:rsidRPr="097C06DF">
        <w:rPr>
          <w:rFonts w:cs="Arial"/>
        </w:rPr>
        <w:t xml:space="preserve"> – </w:t>
      </w:r>
      <w:r w:rsidR="00B2525F" w:rsidRPr="097C06DF">
        <w:rPr>
          <w:rFonts w:cs="Arial"/>
        </w:rPr>
        <w:t>należy przez to rozumieć</w:t>
      </w:r>
      <w:r w:rsidR="0AAC9DC7" w:rsidRPr="097C06DF">
        <w:rPr>
          <w:rFonts w:cs="Arial"/>
        </w:rPr>
        <w:t xml:space="preserve"> 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02108429"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t xml:space="preserve">„BGK” </w:t>
      </w:r>
      <w:r w:rsidRPr="097C06DF">
        <w:rPr>
          <w:rFonts w:cs="Arial"/>
        </w:rPr>
        <w:t xml:space="preserve">– </w:t>
      </w:r>
      <w:r w:rsidR="00B2525F" w:rsidRPr="097C06DF">
        <w:rPr>
          <w:rFonts w:cs="Arial"/>
        </w:rPr>
        <w:t xml:space="preserve">należy przez to rozumieć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0BB40F66"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 </w:t>
      </w:r>
      <w:r w:rsidR="3555A2C6" w:rsidRPr="0830E6A0">
        <w:rPr>
          <w:rFonts w:cs="Arial"/>
        </w:rPr>
        <w:t xml:space="preserve">należy przez to rozumieć </w:t>
      </w:r>
      <w:r w:rsidRPr="006C3524">
        <w:rPr>
          <w:rFonts w:cs="Arial"/>
        </w:rPr>
        <w:t>plan wydatków wynikających z wniosku o dofinansowanie z określeniem kwot wydatków kwalifikowalnych i niekwalifikowalnych</w:t>
      </w:r>
      <w:r w:rsidR="00050143">
        <w:rPr>
          <w:rFonts w:cs="Arial"/>
        </w:rPr>
        <w:t>;</w:t>
      </w:r>
    </w:p>
    <w:p w14:paraId="4EAADBF4" w14:textId="492D8C2B"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 xml:space="preserve">– </w:t>
      </w:r>
      <w:r w:rsidR="00192A00" w:rsidRPr="0830E6A0">
        <w:rPr>
          <w:rFonts w:cs="Arial"/>
        </w:rPr>
        <w:t xml:space="preserve">należy przez to rozumieć </w:t>
      </w:r>
      <w:r w:rsidRPr="0830E6A0">
        <w:rPr>
          <w:rFonts w:cs="Arial"/>
        </w:rPr>
        <w:t>Centralny system teleinformatyczny wykorzystywany w procesie rozliczania Projektu oraz komunikowania się z Instytucją Pośredniczącą;</w:t>
      </w:r>
    </w:p>
    <w:p w14:paraId="3199A5F7" w14:textId="632B67EC"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 </w:t>
      </w:r>
      <w:r w:rsidR="000D7179" w:rsidRPr="0830E6A0">
        <w:rPr>
          <w:rFonts w:cs="Arial"/>
        </w:rPr>
        <w:t xml:space="preserve">należy przez to rozumieć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68EC2529"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 należy przez to rozumieć 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47154AE8"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 należy przez to rozumieć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77777777"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Pr="0830E6A0">
        <w:rPr>
          <w:rFonts w:cs="Arial"/>
          <w:b/>
          <w:bCs/>
        </w:rPr>
        <w:t xml:space="preserve"> </w:t>
      </w:r>
      <w:r w:rsidRPr="0830E6A0">
        <w:rPr>
          <w:rFonts w:cs="Arial"/>
        </w:rPr>
        <w:t>należy</w:t>
      </w:r>
      <w:r w:rsidRPr="0830E6A0">
        <w:rPr>
          <w:rFonts w:cs="Arial"/>
          <w:b/>
          <w:bCs/>
        </w:rPr>
        <w:t xml:space="preserve"> </w:t>
      </w:r>
      <w:r w:rsidRPr="0830E6A0">
        <w:rPr>
          <w:rFonts w:cs="Arial"/>
        </w:rPr>
        <w:t>przez to rozumieć Europejski</w:t>
      </w:r>
      <w:r w:rsidRPr="0830E6A0">
        <w:rPr>
          <w:rFonts w:cs="Arial"/>
          <w:b/>
          <w:bCs/>
        </w:rPr>
        <w:t xml:space="preserve"> </w:t>
      </w:r>
      <w:r w:rsidRPr="0830E6A0">
        <w:rPr>
          <w:rFonts w:cs="Arial"/>
        </w:rPr>
        <w:t>Fundusz Rozwoju Regionalnego;</w:t>
      </w:r>
    </w:p>
    <w:p w14:paraId="490420FA" w14:textId="43B6051D"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 należy przez to rozumieć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628FB642"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 należy przez to rozumieć 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56810B88"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 xml:space="preserve">– należy przez to rozumieć instytucję koordynującą umowę partnerstwa; </w:t>
      </w:r>
    </w:p>
    <w:p w14:paraId="41076345" w14:textId="2471EAF3"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Pr="0830E6A0">
        <w:rPr>
          <w:rFonts w:cs="Arial"/>
        </w:rPr>
        <w:t xml:space="preserve"> należy przez to rozumieć Zarząd Województwa Mazowieckiego będący Instytucją Zarządzającą </w:t>
      </w:r>
      <w:r w:rsidR="002B381B" w:rsidRPr="0830E6A0">
        <w:rPr>
          <w:rFonts w:cs="Arial"/>
        </w:rPr>
        <w:t>FEM 2021-2027</w:t>
      </w:r>
      <w:r w:rsidRPr="0830E6A0">
        <w:rPr>
          <w:rFonts w:cs="Arial"/>
        </w:rPr>
        <w:t>;</w:t>
      </w:r>
    </w:p>
    <w:p w14:paraId="3A2CCD31" w14:textId="1FF3D276"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 należy przez to rozumieć wydatki kwalifikowalne niezbędne do realizacji Projektu związane bezpośrednio z głównym przedmiotem Projektu</w:t>
      </w:r>
      <w:r w:rsidR="00956A0E" w:rsidRPr="0830E6A0">
        <w:rPr>
          <w:rFonts w:cs="Arial"/>
        </w:rPr>
        <w:t>;</w:t>
      </w:r>
    </w:p>
    <w:p w14:paraId="67030794" w14:textId="1834F0EE"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 należy przez to rozumieć wydatki kwalifikowalne niezbędne do realizacji Projektu, ale niedotyczące bezpośrednio głównego przedmiotu Projektu;</w:t>
      </w:r>
      <w:r w:rsidRPr="0830E6A0">
        <w:rPr>
          <w:rFonts w:cs="Arial"/>
          <w:b/>
          <w:bCs/>
        </w:rPr>
        <w:t xml:space="preserve"> </w:t>
      </w:r>
    </w:p>
    <w:p w14:paraId="53782B34" w14:textId="06778018"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Pr="005D31F8">
        <w:rPr>
          <w:rFonts w:cs="Arial"/>
        </w:rPr>
        <w:t xml:space="preserve"> należy przez to rozumieć Mazowiecki Elektroniczny Wniosek Aplikacyjny dla </w:t>
      </w:r>
      <w:r w:rsidR="252EA4DA" w:rsidRPr="005D31F8">
        <w:rPr>
          <w:rFonts w:cs="Arial"/>
        </w:rPr>
        <w:t>FEM 2021-2027</w:t>
      </w:r>
      <w:r w:rsidR="5796F598" w:rsidRPr="005D31F8">
        <w:rPr>
          <w:rFonts w:cs="Arial"/>
        </w:rPr>
        <w:t>;</w:t>
      </w:r>
    </w:p>
    <w:p w14:paraId="441E3B43" w14:textId="55712E18"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 należy przez to rozumieć Mazowiecką Jednostkę Wdrażania Programów Unijnych, pełniącą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0B45180B"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Pr="0830E6A0">
        <w:rPr>
          <w:rFonts w:cs="Arial"/>
        </w:rPr>
        <w:t xml:space="preserve"> </w:t>
      </w:r>
      <w:r w:rsidR="00886A18" w:rsidRPr="0830E6A0">
        <w:rPr>
          <w:rFonts w:cs="Arial"/>
        </w:rPr>
        <w:t>należy przez to rozumieć</w:t>
      </w:r>
      <w:r w:rsidRPr="0830E6A0">
        <w:rPr>
          <w:rFonts w:cs="Arial"/>
        </w:rPr>
        <w:t xml:space="preserve"> funkcjonalność systemu </w:t>
      </w:r>
      <w:r w:rsidR="009D3E11" w:rsidRPr="0830E6A0">
        <w:rPr>
          <w:rFonts w:cs="Arial"/>
        </w:rPr>
        <w:t>CST2021</w:t>
      </w:r>
      <w:r w:rsidRPr="0830E6A0">
        <w:rPr>
          <w:rFonts w:cs="Arial"/>
        </w:rPr>
        <w:t xml:space="preserve"> umożliwiając</w:t>
      </w:r>
      <w:r w:rsidR="004636B1" w:rsidRPr="0830E6A0">
        <w:rPr>
          <w:rFonts w:cs="Arial"/>
        </w:rPr>
        <w:t>ą</w:t>
      </w:r>
      <w:r w:rsidRPr="0830E6A0">
        <w:rPr>
          <w:rFonts w:cs="Arial"/>
        </w:rPr>
        <w:t xml:space="preserve"> gromadzenie wszelkich danych dotyczących zamówień publ</w:t>
      </w:r>
      <w:r w:rsidR="00A40501" w:rsidRPr="0830E6A0">
        <w:rPr>
          <w:rFonts w:cs="Arial"/>
        </w:rPr>
        <w:t>icznych w ramach realizowanego P</w:t>
      </w:r>
      <w:r w:rsidRPr="0830E6A0">
        <w:rPr>
          <w:rFonts w:cs="Arial"/>
        </w:rPr>
        <w:t>rojektu oraz zawartych w ramach tych zamówień kontraktów i ich wykonawców</w:t>
      </w:r>
      <w:r w:rsidR="00A22E5E" w:rsidRPr="0830E6A0">
        <w:rPr>
          <w:rFonts w:cs="Arial"/>
        </w:rPr>
        <w:t>;</w:t>
      </w:r>
    </w:p>
    <w:p w14:paraId="0272B770" w14:textId="7454E0ED"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 xml:space="preserve">– należy przez to rozumieć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7745D05E"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lastRenderedPageBreak/>
        <w:t>“</w:t>
      </w:r>
      <w:r w:rsidRPr="00900C1E">
        <w:rPr>
          <w:rFonts w:cs="Arial"/>
          <w:b/>
          <w:bCs/>
        </w:rPr>
        <w:t>Partner</w:t>
      </w:r>
      <w:r w:rsidRPr="0830E6A0">
        <w:rPr>
          <w:rFonts w:cs="Arial"/>
        </w:rPr>
        <w:t xml:space="preserve">” - </w:t>
      </w:r>
      <w:r w:rsidR="097C06DF" w:rsidRPr="097C06DF">
        <w:rPr>
          <w:rFonts w:cs="Arial"/>
        </w:rPr>
        <w:t>należy przez to rozumieć instytucję wymienioną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uczestniczącą w realizacji Projektu, wnoszącą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2E074F73"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 należy przez to rozumieć 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97FC0F9"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 należy przez to rozumieć 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3CC2EB32"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Pr="0830E6A0">
        <w:rPr>
          <w:rFonts w:cs="Arial"/>
        </w:rPr>
        <w:t xml:space="preserve"> należy przez to rozumieć 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7973EF1D"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 należy przez to rozumieć 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realizowane 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91C4F6"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30356672"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 należy przez to rozumieć 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65B7B5F8"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 xml:space="preserve">– należy przez to rozumieć 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551079C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 xml:space="preserve">– należy przez to rozumieć część </w:t>
      </w:r>
      <w:r w:rsidR="16CEC06B" w:rsidRPr="0830E6A0">
        <w:rPr>
          <w:rFonts w:cs="Arial"/>
        </w:rPr>
        <w:t>d</w:t>
      </w:r>
      <w:r w:rsidRPr="0830E6A0">
        <w:rPr>
          <w:rFonts w:cs="Arial"/>
        </w:rPr>
        <w:t>ofinansowania pochodzącą ze środków Europejskiego Funduszu Rozwoju Regionalnego przekazywaną w formie płatności z rachunku Ministra Finansów, o którym mowa w art. 200 ust. 1 ustawy</w:t>
      </w:r>
      <w:r w:rsidR="240B01C8" w:rsidRPr="0830E6A0">
        <w:rPr>
          <w:rFonts w:cs="Arial"/>
        </w:rPr>
        <w:t xml:space="preserve"> z dnia 27 sierpnia 2009 r.</w:t>
      </w:r>
      <w:r w:rsidRPr="0830E6A0">
        <w:rPr>
          <w:rFonts w:cs="Arial"/>
        </w:rPr>
        <w:t xml:space="preserve"> o finansach publicznych, prowadzonego w Banku Gospodarstwa Krajowego (BGK);</w:t>
      </w:r>
    </w:p>
    <w:p w14:paraId="082729F9" w14:textId="04C758B9"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 xml:space="preserve">– należy przez to rozumieć </w:t>
      </w:r>
      <w:r w:rsidR="164590ED" w:rsidRPr="0830E6A0">
        <w:rPr>
          <w:rFonts w:cs="Arial"/>
        </w:rPr>
        <w:t>u</w:t>
      </w:r>
      <w:r w:rsidRPr="0830E6A0">
        <w:rPr>
          <w:rFonts w:cs="Arial"/>
        </w:rPr>
        <w:t xml:space="preserve">mowę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77777777"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„Uszczegółowieni</w:t>
      </w:r>
      <w:r w:rsidR="32584854" w:rsidRPr="0830E6A0">
        <w:rPr>
          <w:rFonts w:cs="Arial"/>
          <w:b/>
          <w:bCs/>
        </w:rPr>
        <w:t>e</w:t>
      </w:r>
      <w:r w:rsidRPr="0830E6A0">
        <w:rPr>
          <w:rFonts w:cs="Arial"/>
          <w:b/>
          <w:bCs/>
        </w:rPr>
        <w:t>”</w:t>
      </w:r>
      <w:r w:rsidRPr="0830E6A0">
        <w:rPr>
          <w:rFonts w:cs="Arial"/>
        </w:rPr>
        <w:t xml:space="preserve"> – należy przez to rozumieć 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18EE1110"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 xml:space="preserve">– należy przez to rozumieć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1CC5A1A7"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Pr="0830E6A0">
        <w:rPr>
          <w:rFonts w:cs="Arial"/>
        </w:rPr>
        <w:t xml:space="preserve"> należy przez to rozumieć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0519752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 należy przez to rozumieć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880E80D"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xml:space="preserve">” – należy przez to rozumieć wydatki poniesione przez Beneficjenta w związku z realizacją Projektu w ramach </w:t>
      </w:r>
      <w:r w:rsidR="1CA18F23" w:rsidRPr="0830E6A0">
        <w:rPr>
          <w:rFonts w:cs="Arial"/>
        </w:rPr>
        <w:t>FEM 2021-2027</w:t>
      </w:r>
      <w:r w:rsidRPr="0830E6A0">
        <w:rPr>
          <w:rFonts w:cs="Arial"/>
        </w:rPr>
        <w:t xml:space="preserve">, zgodnie 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w trybie określonym w Umowie;</w:t>
      </w:r>
    </w:p>
    <w:p w14:paraId="1E4EA9C7" w14:textId="0BFF298C"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 należy przez to rozumieć 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7364B4F"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 należy przez to rozumieć instrument prawny określający ujednolicone warunki i procedury wdrażania funduszy strukturalnych skierowane do instytucji uczestniczących 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o dofinansowaniu </w:t>
      </w:r>
      <w:r w:rsidR="2F1AB6D6" w:rsidRPr="00143421">
        <w:rPr>
          <w:rFonts w:cs="Arial"/>
        </w:rPr>
        <w:t>P</w:t>
      </w:r>
      <w:r w:rsidRPr="00143421">
        <w:rPr>
          <w:rFonts w:cs="Arial"/>
        </w:rPr>
        <w:t>rojektu</w:t>
      </w:r>
      <w:r w:rsidR="720545A6" w:rsidRPr="00143421">
        <w:rPr>
          <w:rFonts w:cs="Arial"/>
        </w:rPr>
        <w:t>;</w:t>
      </w:r>
    </w:p>
    <w:p w14:paraId="28BFE31E" w14:textId="72E69E11"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 xml:space="preserve">– należy przez to rozumieć datę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15BF7C7F"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 xml:space="preserve">– należy przez to rozumieć pisemną umowę odpłatną, zawartą pomiędzy zamawiającym a wykonawcą, której przedmiotem są usługi, </w:t>
      </w:r>
      <w:r w:rsidRPr="0830E6A0">
        <w:rPr>
          <w:rFonts w:ascii="Arial" w:hAnsi="Arial" w:cs="Arial"/>
          <w:sz w:val="24"/>
          <w:szCs w:val="24"/>
        </w:rPr>
        <w:lastRenderedPageBreak/>
        <w:t>dostawy lub roboty budowlane przewidziane w projekcie realizowanym w ramach FEM 2021-2027;</w:t>
      </w:r>
    </w:p>
    <w:p w14:paraId="22172806" w14:textId="491FB9F7"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73765397" w:rsidRPr="0830E6A0">
        <w:rPr>
          <w:rFonts w:cs="Arial"/>
        </w:rPr>
        <w:t xml:space="preserve"> </w:t>
      </w:r>
      <w:r w:rsidR="7B02A6F2" w:rsidRPr="0830E6A0">
        <w:rPr>
          <w:rFonts w:cs="Arial"/>
        </w:rPr>
        <w:t>należy przez to rozumieć</w:t>
      </w:r>
      <w:r w:rsidR="73765397" w:rsidRPr="0830E6A0">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CA0A098"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793DCB52"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proofErr w:type="gramStart"/>
      <w:r w:rsidRPr="5EAAFBE3">
        <w:rPr>
          <w:rFonts w:cs="Arial"/>
          <w:b/>
          <w:bCs/>
        </w:rPr>
        <w:t>…….</w:t>
      </w:r>
      <w:proofErr w:type="gramEnd"/>
      <w:r w:rsidRPr="5EAAFBE3">
        <w:rPr>
          <w:rFonts w:cs="Arial"/>
          <w:b/>
          <w:bCs/>
        </w:rPr>
        <w:t>.</w:t>
      </w:r>
      <w:r w:rsidRPr="5EAAFBE3">
        <w:rPr>
          <w:rFonts w:cs="Arial"/>
        </w:rPr>
        <w:t>)  w tym:</w:t>
      </w:r>
    </w:p>
    <w:p w14:paraId="626622F7" w14:textId="6F97515F"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w:t>
      </w:r>
      <w:proofErr w:type="gramStart"/>
      <w:r w:rsidRPr="084AC6D9">
        <w:rPr>
          <w:rFonts w:cs="Arial"/>
          <w:b/>
          <w:bCs/>
          <w:i/>
          <w:iCs/>
        </w:rPr>
        <w:t>…….</w:t>
      </w:r>
      <w:proofErr w:type="gramEnd"/>
      <w:r w:rsidRPr="084AC6D9">
        <w:rPr>
          <w:rFonts w:cs="Arial"/>
          <w:b/>
          <w:bCs/>
          <w:i/>
          <w:iCs/>
        </w:rPr>
        <w:t xml:space="preserve"> </w:t>
      </w:r>
      <w:r w:rsidRPr="005D31F8">
        <w:rPr>
          <w:rFonts w:cs="Arial"/>
        </w:rPr>
        <w:t>) , 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proofErr w:type="gramStart"/>
      <w:r w:rsidRPr="084AC6D9">
        <w:rPr>
          <w:rFonts w:cs="Arial"/>
        </w:rPr>
        <w:t>) ;</w:t>
      </w:r>
      <w:proofErr w:type="gramEnd"/>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proofErr w:type="gramStart"/>
      <w:r w:rsidRPr="5EAAFBE3">
        <w:rPr>
          <w:rFonts w:cs="Arial"/>
        </w:rPr>
        <w:t>) ;</w:t>
      </w:r>
      <w:proofErr w:type="gramEnd"/>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proofErr w:type="gramStart"/>
      <w:r w:rsidR="65FA4CEA" w:rsidRPr="084AC6D9">
        <w:rPr>
          <w:rFonts w:cs="Arial"/>
          <w:b/>
          <w:bCs/>
        </w:rPr>
        <w:t>…….</w:t>
      </w:r>
      <w:proofErr w:type="gramEnd"/>
      <w:r w:rsidR="65FA4CEA" w:rsidRPr="084AC6D9">
        <w:rPr>
          <w:rFonts w:cs="Arial"/>
          <w:b/>
          <w:bCs/>
        </w:rPr>
        <w:t>.</w:t>
      </w:r>
      <w:r w:rsidR="65FA4CEA" w:rsidRPr="084AC6D9">
        <w:rPr>
          <w:rFonts w:cs="Arial"/>
        </w:rPr>
        <w:t xml:space="preserve"> PLN (słownie: </w:t>
      </w:r>
      <w:r w:rsidR="65FA4CEA" w:rsidRPr="084AC6D9">
        <w:rPr>
          <w:rFonts w:cs="Arial"/>
          <w:b/>
          <w:bCs/>
          <w:i/>
          <w:iCs/>
        </w:rPr>
        <w:t>………</w:t>
      </w:r>
      <w:proofErr w:type="gramStart"/>
      <w:r w:rsidR="65FA4CEA" w:rsidRPr="084AC6D9">
        <w:rPr>
          <w:rFonts w:cs="Arial"/>
          <w:b/>
          <w:bCs/>
          <w:i/>
          <w:iCs/>
        </w:rPr>
        <w:t>…….</w:t>
      </w:r>
      <w:proofErr w:type="gramEnd"/>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E9D9E2B"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336DD3D"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 </w:t>
      </w:r>
      <w:r w:rsidRPr="005B034B">
        <w:rPr>
          <w:rFonts w:cs="Arial"/>
        </w:rPr>
        <w:lastRenderedPageBreak/>
        <w:t xml:space="preserve">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3B178BE0"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6C089AE9"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64CBA8CB"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4B4CD843"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4B401EE2"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w szczególności 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2DEF7FE5"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CEA49E0"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przedmiotem postępowań prawnych 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lastRenderedPageBreak/>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2E9A231E"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38273458"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skan wydruku 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415BE2E0"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i rozchodów lub Karty podatkowej, 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2D8C4710"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lastRenderedPageBreak/>
        <w:t xml:space="preserve">JPK VAT z deklaracją </w:t>
      </w:r>
      <w:r w:rsidR="08637E80" w:rsidRPr="00A9176F">
        <w:rPr>
          <w:rFonts w:eastAsia="Calibri" w:cs="Arial"/>
          <w:lang w:eastAsia="en-US"/>
        </w:rPr>
        <w:t xml:space="preserve">złożony do Urzędu Skarbowego oraz oświadczenia </w:t>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363C94AD"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w przypadku, gdy Beneficjent nie jest czynnym podatnikiem VAT – korzysta ze zwolnienia przedmiotowego na podstawie art. 43 ust. 1 ustawy z dnia 11 marca 2004 r. o podatku od towarów i usług (Dz. U. z 20</w:t>
      </w:r>
      <w:r w:rsidR="110658AF" w:rsidRPr="00A9176F">
        <w:rPr>
          <w:rFonts w:cs="Arial"/>
        </w:rPr>
        <w:t>2</w:t>
      </w:r>
      <w:r w:rsidR="56C69581" w:rsidRPr="00A9176F">
        <w:rPr>
          <w:rFonts w:cs="Arial"/>
        </w:rPr>
        <w:t>2</w:t>
      </w:r>
      <w:r w:rsidRPr="00A9176F">
        <w:rPr>
          <w:rFonts w:cs="Arial"/>
        </w:rPr>
        <w:t xml:space="preserve"> r. poz. </w:t>
      </w:r>
      <w:r w:rsidR="56C69581" w:rsidRPr="00A9176F">
        <w:rPr>
          <w:rFonts w:cs="Arial"/>
        </w:rPr>
        <w:t>931</w:t>
      </w:r>
      <w:r w:rsidR="1BA4FD00" w:rsidRPr="00A9176F">
        <w:rPr>
          <w:rFonts w:cs="Arial"/>
        </w:rPr>
        <w:t xml:space="preserve">, z </w:t>
      </w:r>
      <w:proofErr w:type="spellStart"/>
      <w:r w:rsidR="1BA4FD00" w:rsidRPr="00A9176F">
        <w:rPr>
          <w:rFonts w:cs="Arial"/>
        </w:rPr>
        <w:t>późn</w:t>
      </w:r>
      <w:proofErr w:type="spellEnd"/>
      <w:r w:rsidR="1BA4FD00" w:rsidRPr="00A9176F">
        <w:rPr>
          <w:rFonts w:cs="Arial"/>
        </w:rPr>
        <w:t>.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147F11E3"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r., należy dodatkowo załączyć wyciąg bankowy 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lastRenderedPageBreak/>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7EFD9018"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61438EEE"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nie podlega wykluczeniu z otrzymania środków pochodzących z budżetu Unii Europejskiej na podstawie art. 207 ustawy z dnia 27 sierpnia 2009 r. o finansach publicznych</w:t>
      </w:r>
      <w:r w:rsidR="005B34E4" w:rsidRPr="00F73D7C">
        <w:rPr>
          <w:rFonts w:cs="Arial"/>
        </w:rPr>
        <w:t xml:space="preserve"> oraz zgodnie z art. 12 ustawy z dnia 15 czerwca 2012 r. 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lastRenderedPageBreak/>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2644BB6C"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warunków gromadzenia i przekazywania danych 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4F4C8288" w14:textId="361EB8DA" w:rsidR="00073BAA" w:rsidRPr="00F73D7C"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warunkiem ewentualnego ich stosowania w odniesieniu do wydatków poniesionych przed tym dniem oraz umów zawartych 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00BF600A" w:rsidRPr="00F73D7C">
        <w:rPr>
          <w:rFonts w:cs="Arial"/>
        </w:rPr>
        <w:t xml:space="preserve"> stosowania nowej wersji Wytycznych</w:t>
      </w:r>
      <w:r w:rsidR="0021397C" w:rsidRPr="00F73D7C">
        <w:rPr>
          <w:rFonts w:cs="Arial"/>
        </w:rPr>
        <w:t>,</w:t>
      </w:r>
      <w:r w:rsidR="00BF600A"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640307CD" w:rsidR="00AB3124" w:rsidRPr="00F73D7C" w:rsidRDefault="00AB3124" w:rsidP="00EE0DAC">
      <w:pPr>
        <w:numPr>
          <w:ilvl w:val="0"/>
          <w:numId w:val="58"/>
        </w:numPr>
        <w:spacing w:line="276" w:lineRule="auto"/>
        <w:rPr>
          <w:rFonts w:cs="Arial"/>
        </w:rPr>
      </w:pPr>
      <w:r w:rsidRPr="00F73D7C">
        <w:rPr>
          <w:rFonts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4DD6C6B4" w14:textId="2C0D4FDC" w:rsidR="00AB3124" w:rsidRPr="00F73D7C" w:rsidRDefault="00AB3124" w:rsidP="00EE0DAC">
      <w:pPr>
        <w:numPr>
          <w:ilvl w:val="0"/>
          <w:numId w:val="58"/>
        </w:numPr>
        <w:spacing w:line="276" w:lineRule="auto"/>
        <w:ind w:left="357" w:hanging="357"/>
        <w:rPr>
          <w:rFonts w:cs="Arial"/>
        </w:rPr>
      </w:pPr>
      <w:r w:rsidRPr="00F73D7C">
        <w:rPr>
          <w:rFonts w:cs="Arial"/>
        </w:rPr>
        <w:t>Beneficjent zobowiązuje się do przestrzegania zasady niedyskryminacji zgodnie z art. 2 Traktatu o Unii Europejskiej i art. 21 Karty Praw Podstawowych Unii Europejskiej oraz stosowania aktualnych Wytycznych dotyczących zasad równościowych w funduszach unijnych na lata 2021-2027 wraz z załącznikami.</w:t>
      </w:r>
    </w:p>
    <w:p w14:paraId="5A64BC31" w14:textId="345798B7" w:rsidR="00DA6B70" w:rsidRDefault="000D700A" w:rsidP="00EE0DAC">
      <w:pPr>
        <w:numPr>
          <w:ilvl w:val="0"/>
          <w:numId w:val="58"/>
        </w:numPr>
        <w:spacing w:line="276" w:lineRule="auto"/>
        <w:ind w:left="357" w:hanging="357"/>
        <w:rPr>
          <w:rFonts w:cs="Arial"/>
        </w:rPr>
      </w:pPr>
      <w:r>
        <w:rPr>
          <w:rFonts w:cs="Arial"/>
        </w:rPr>
        <w:t>MJWPU</w:t>
      </w:r>
      <w:r w:rsidR="00AB3124" w:rsidRPr="00F73D7C">
        <w:rPr>
          <w:rFonts w:cs="Arial"/>
        </w:rPr>
        <w:t xml:space="preserve">, w przypadku stwierdzenia naruszenia przez Beneficjenta zasady niedyskryminacji określonej w ust. </w:t>
      </w:r>
      <w:r w:rsidR="00BD1C84" w:rsidRPr="00F73D7C">
        <w:rPr>
          <w:rFonts w:cs="Arial"/>
        </w:rPr>
        <w:t>9</w:t>
      </w:r>
      <w:r w:rsidR="00AB3124" w:rsidRPr="00F73D7C">
        <w:rPr>
          <w:rFonts w:cs="Arial"/>
        </w:rPr>
        <w:t>, dokonuje korekty finansowej. Wartość korekty finansowej wynikającej ze stwierdzonej nieprawidłowości indywidualnej jest równa kwocie wydatków poniesionych nieprawidłowo w części odpowiadającej kwocie finansowania UE.</w:t>
      </w:r>
    </w:p>
    <w:p w14:paraId="1F8A6D8A" w14:textId="69D8C7DA" w:rsidR="00A05E70" w:rsidRPr="00A05E70" w:rsidRDefault="00A05E70" w:rsidP="00EE0DAC">
      <w:pPr>
        <w:numPr>
          <w:ilvl w:val="0"/>
          <w:numId w:val="58"/>
        </w:numPr>
        <w:tabs>
          <w:tab w:val="clear" w:pos="360"/>
          <w:tab w:val="left" w:pos="357"/>
        </w:tabs>
        <w:spacing w:line="276" w:lineRule="auto"/>
        <w:ind w:left="357" w:hanging="357"/>
        <w:rPr>
          <w:rFonts w:cs="Arial"/>
        </w:rPr>
      </w:pPr>
      <w:r>
        <w:rPr>
          <w:rFonts w:cs="Arial"/>
        </w:rPr>
        <w:lastRenderedPageBreak/>
        <w:t>MJWPU</w:t>
      </w:r>
      <w:r w:rsidRPr="007B03F8">
        <w:rPr>
          <w:rFonts w:cs="Arial"/>
        </w:rPr>
        <w:t>, w przypadku stwierdzenia rażących lub notorycznych naruszeń standardów dostępności, wskazanych w Wytycznych dotyczących realizacji zasad równościowych w ramach funduszy unijnych na lata 2021-2027, lub uchylania się Beneficjenta od realizacji działań naprawczych, może uznać część wydatków Projektu za niekwalifikowalne.</w:t>
      </w: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43984AA7"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134DB5DB"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531CED">
        <w:rPr>
          <w:rFonts w:cs="Arial"/>
        </w:rPr>
        <w:t>3</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781C4DF"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z 202</w:t>
      </w:r>
      <w:r w:rsidR="69402583" w:rsidRPr="00F73D7C">
        <w:rPr>
          <w:rFonts w:ascii="Arial" w:hAnsi="Arial" w:cs="Arial"/>
          <w:sz w:val="24"/>
          <w:szCs w:val="24"/>
        </w:rPr>
        <w:t>2</w:t>
      </w:r>
      <w:r w:rsidR="5749833A" w:rsidRPr="00F73D7C">
        <w:rPr>
          <w:rFonts w:ascii="Arial" w:hAnsi="Arial" w:cs="Arial"/>
          <w:sz w:val="24"/>
          <w:szCs w:val="24"/>
        </w:rPr>
        <w:t xml:space="preserve"> r. </w:t>
      </w:r>
      <w:r w:rsidR="19B80EDC" w:rsidRPr="00F73D7C">
        <w:rPr>
          <w:rFonts w:ascii="Arial" w:hAnsi="Arial" w:cs="Arial"/>
          <w:sz w:val="24"/>
          <w:szCs w:val="24"/>
        </w:rPr>
        <w:t xml:space="preserve">poz. </w:t>
      </w:r>
      <w:r w:rsidR="69402583" w:rsidRPr="00F73D7C">
        <w:rPr>
          <w:rFonts w:ascii="Arial" w:hAnsi="Arial" w:cs="Arial"/>
          <w:sz w:val="24"/>
          <w:szCs w:val="24"/>
        </w:rPr>
        <w:t>1710</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77777777"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w:t>
      </w:r>
      <w:r w:rsidR="006825E1">
        <w:rPr>
          <w:rFonts w:cs="Arial"/>
        </w:rPr>
        <w:lastRenderedPageBreak/>
        <w:t xml:space="preserve">działalności </w:t>
      </w:r>
      <w:r w:rsidR="000D63E0">
        <w:rPr>
          <w:rFonts w:cs="Arial"/>
        </w:rPr>
        <w:t>opodatkowanej produkty będące efektem realizacji Projektu</w:t>
      </w:r>
      <w:r w:rsidR="009F6709">
        <w:rPr>
          <w:rFonts w:cs="Arial"/>
        </w:rPr>
        <w:t>, zarówno 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77777777"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z zasad udzielania </w:t>
      </w:r>
      <w:r w:rsidR="001D4780">
        <w:rPr>
          <w:rFonts w:cs="Arial"/>
        </w:rPr>
        <w:t>pomocy publicznej.</w:t>
      </w:r>
    </w:p>
    <w:p w14:paraId="0040FF7B" w14:textId="3FD6BC94"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i ustalenia z organami podatkowymi w zakresie opodatkowania podatkiem od towarów i usług, w tym wskazujące na zastosowanie właściwego współczynnika wynikającego z art. 90-91 ustawy z </w:t>
      </w:r>
      <w:r w:rsidR="00C726D5">
        <w:rPr>
          <w:rFonts w:cs="Arial"/>
        </w:rPr>
        <w:t xml:space="preserve">dnia </w:t>
      </w:r>
      <w:r w:rsidR="00CD421F" w:rsidRPr="2172E3C8">
        <w:rPr>
          <w:rFonts w:cs="Arial"/>
        </w:rPr>
        <w:t>11 marca 2004 r. o podatku od towarów i usług wraz 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41F3F1B4"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xml:space="preserve">, z </w:t>
      </w:r>
      <w:proofErr w:type="spellStart"/>
      <w:r w:rsidR="00FC1F2D">
        <w:rPr>
          <w:rFonts w:cs="Arial"/>
        </w:rPr>
        <w:t>późn</w:t>
      </w:r>
      <w:proofErr w:type="spellEnd"/>
      <w:r w:rsidR="00FC1F2D">
        <w:rPr>
          <w:rFonts w:cs="Arial"/>
        </w:rPr>
        <w:t>.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77777777"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695834B9"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wniesienie przez Beneficjenta prawidłowo ustanowionego zabezpieczenia, 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34D764CB"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złożenie przez Beneficjenta do MJWPU prawidłowego, kompletnego 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401720F7" w:rsidRPr="2172E3C8">
        <w:rPr>
          <w:rFonts w:cs="Arial"/>
        </w:rPr>
        <w:t xml:space="preserve">w systemie </w:t>
      </w:r>
      <w:r w:rsidR="3B47DD2F" w:rsidRPr="2172E3C8">
        <w:rPr>
          <w:rFonts w:cs="Arial"/>
        </w:rPr>
        <w:t>CST2021</w:t>
      </w:r>
      <w:r w:rsidRPr="2172E3C8">
        <w:rPr>
          <w:rFonts w:cs="Arial"/>
        </w:rPr>
        <w:t>;</w:t>
      </w:r>
    </w:p>
    <w:p w14:paraId="44060381" w14:textId="330CB444"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lastRenderedPageBreak/>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zgodnie 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1CEEDF79"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 xml:space="preserve">W ramach realizacji Projektu Beneficjent ma możliwość rozliczenia kwalifikowalnych bezpośrednich kosztów personelu stanowiących </w:t>
      </w:r>
      <w:proofErr w:type="gramStart"/>
      <w:r w:rsidRPr="004C23A7">
        <w:rPr>
          <w:rFonts w:eastAsia="Calibri" w:cs="Arial"/>
          <w:lang w:eastAsia="en-US"/>
        </w:rPr>
        <w:t>…….</w:t>
      </w:r>
      <w:proofErr w:type="gramEnd"/>
      <w:r w:rsidRPr="004C23A7">
        <w:rPr>
          <w:rFonts w:eastAsia="Calibri" w:cs="Arial"/>
          <w:lang w:eastAsia="en-US"/>
        </w:rPr>
        <w:t>%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 xml:space="preserve">rojektu stanowiących </w:t>
      </w:r>
      <w:proofErr w:type="gramStart"/>
      <w:r w:rsidRPr="004C23A7">
        <w:rPr>
          <w:rFonts w:eastAsia="Calibri" w:cs="Arial"/>
          <w:lang w:eastAsia="en-US"/>
        </w:rPr>
        <w:t>…….</w:t>
      </w:r>
      <w:proofErr w:type="gramEnd"/>
      <w:r w:rsidRPr="004C23A7">
        <w:rPr>
          <w:rFonts w:eastAsia="Calibri" w:cs="Arial"/>
          <w:lang w:eastAsia="en-US"/>
        </w:rPr>
        <w:t>%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proofErr w:type="gramStart"/>
      <w:r w:rsidRPr="004C23A7">
        <w:rPr>
          <w:rFonts w:eastAsia="Calibri" w:cs="Arial"/>
          <w:lang w:eastAsia="en-US"/>
        </w:rPr>
        <w:t>….</w:t>
      </w:r>
      <w:proofErr w:type="gramEnd"/>
      <w:r w:rsidRPr="004C23A7">
        <w:rPr>
          <w:rFonts w:eastAsia="Calibri" w:cs="Arial"/>
          <w:lang w:eastAsia="en-US"/>
        </w:rPr>
        <w:t>%</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6756F6FE"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z kategorii stanowiących w ramach Projektu koszty bezpośrednie do kategorii wydatków stanowiących w ramach Projektu koszty pośrednie i odwrotnie. </w:t>
      </w:r>
    </w:p>
    <w:p w14:paraId="22AC747A" w14:textId="2F2298FA"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lastRenderedPageBreak/>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734FA9B6"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jest potwierdzana przez MJWPU na etapie zatwierdzania wniosku 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607B3C7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2 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0E7CAE45"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3FACD6C9"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lastRenderedPageBreak/>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6A20DB0D"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trzymanie kolejnej zaliczki jest uwarunkowane rozliczeniem poprzedniej zaliczki w 100%</w:t>
      </w:r>
      <w:r w:rsidRPr="00F73D7C">
        <w:rPr>
          <w:rFonts w:cs="Arial"/>
        </w:rPr>
        <w:t>;</w:t>
      </w:r>
    </w:p>
    <w:p w14:paraId="2B78BF8E" w14:textId="0ED85432"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4565DD21"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28D9E82A"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AAC5305"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lastRenderedPageBreak/>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2EE7372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2D563AF4"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48439B09"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lastRenderedPageBreak/>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77777777"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Pr="2172E3C8">
        <w:rPr>
          <w:rFonts w:cs="Arial"/>
        </w:rPr>
        <w:t>o finansach publicznych należy dodatkowo wskazać nr Decyzji o zwrocie środków.</w:t>
      </w:r>
    </w:p>
    <w:p w14:paraId="5385987F" w14:textId="599C726D"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4B8AD72F"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lastRenderedPageBreak/>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77777777"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obowiązujących procedur lub pobrał całość lub część Dofinansowania w sposób nienależny albo 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liczonymi od dnia przekazania środków, 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77777777"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lastRenderedPageBreak/>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396F12C5"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70EBAF3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 przedmiotowym module</w:t>
      </w:r>
      <w:r w:rsidR="00EF06CA" w:rsidRPr="00F73D7C">
        <w:rPr>
          <w:rFonts w:cs="Arial"/>
        </w:rPr>
        <w:t xml:space="preserve">.  </w:t>
      </w:r>
    </w:p>
    <w:p w14:paraId="408C6F86" w14:textId="5A5D8A9D"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51FA9563"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ogłoszenie o wszczęciu postępowania, protokół z postępowania, umowę zawartą z wykonawcą oraz aneksy i porozumienia zmieniające treść zawartej umowy po rozstrzygnięciu postępowania.</w:t>
      </w:r>
    </w:p>
    <w:p w14:paraId="18C73D3E" w14:textId="4016DC44"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w:t>
      </w:r>
      <w:r w:rsidR="000A576F">
        <w:rPr>
          <w:rFonts w:cs="Arial"/>
        </w:rPr>
        <w:lastRenderedPageBreak/>
        <w:t>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09EB9E3F"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dotyczą także Partnerów, w przypadku Projektów realizowanych w partnerstwie w oparciu o porozumienie albo umowę 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 xml:space="preserve">projektów wspieranych z Europejskiego </w:t>
      </w:r>
      <w:r w:rsidRPr="004A7FCF">
        <w:rPr>
          <w:rFonts w:eastAsia="Calibri" w:cs="Arial"/>
          <w:lang w:eastAsia="en-US"/>
        </w:rPr>
        <w:lastRenderedPageBreak/>
        <w:t>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7D4E4B04"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lastRenderedPageBreak/>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4648DE2"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587DADA8"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2516F3E2" w14:textId="1396D70F"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xml:space="preserve">), powstałych w ramach Projektu, Beneficjent </w:t>
      </w:r>
      <w:r w:rsidRPr="5EAAFBE3">
        <w:rPr>
          <w:rFonts w:eastAsia="Calibri" w:cs="Arial"/>
          <w:lang w:eastAsia="en-US"/>
        </w:rPr>
        <w:lastRenderedPageBreak/>
        <w:t>zobowiązuje się do uzyskania od tej osoby majątkowych praw autorskich do tych utworów.</w:t>
      </w:r>
    </w:p>
    <w:p w14:paraId="7C96F366" w14:textId="669855E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4CE66F9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wszelką dokumentację związaną 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55E89B71"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2F9816C3"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lastRenderedPageBreak/>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198261E"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Projekt w szczególności może zostać objęty kontrolami doraźnymi – 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0AE2408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74C4D985"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49F7F5C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Niewywiązanie się przez Beneficjenta z któregokolwiek z obowiązków określonych 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11195B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zakresie go dotyczącym, a także respektuje uprawnienia IZ, MJWPU oraz powoływanych przez te instytucje zespołów kontrolujących, wynikające z ww. wytycznych, Umowy oraz posiadanych upoważnień.</w:t>
      </w:r>
    </w:p>
    <w:p w14:paraId="701F2E0C" w14:textId="2C089ACC"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77777777"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Umowa może zostać zmieniona na podstawie zgodnego oświadczenia Stron Umowy 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46803B68"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209C7404"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4146CB83"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środków 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 xml:space="preserve">została </w:t>
      </w:r>
      <w:r w:rsidR="28E0EBBF" w:rsidRPr="0830E6A0">
        <w:rPr>
          <w:rFonts w:cs="Arial"/>
        </w:rPr>
        <w:lastRenderedPageBreak/>
        <w:t>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7A10DD0F"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12DF7E1"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niosku o dofinansowanie Z</w:t>
      </w:r>
      <w:r w:rsidR="42868969" w:rsidRPr="0830E6A0">
        <w:rPr>
          <w:rFonts w:cs="Arial"/>
        </w:rPr>
        <w:t>amówienia</w:t>
      </w:r>
      <w:r w:rsidR="3D59E352" w:rsidRPr="0830E6A0">
        <w:rPr>
          <w:rFonts w:cs="Arial"/>
        </w:rPr>
        <w:t xml:space="preserve"> publicznego</w:t>
      </w:r>
      <w:r w:rsidRPr="0830E6A0">
        <w:rPr>
          <w:rFonts w:cs="Arial"/>
        </w:rPr>
        <w:t>, Beneficjent może wystąpić do MJWPU 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79F3354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niosku o dofinansowanie Zamówienia publicznego</w:t>
      </w:r>
      <w:r w:rsidRPr="0830E6A0">
        <w:rPr>
          <w:rFonts w:ascii="Arial" w:hAnsi="Arial" w:cs="Arial"/>
          <w:color w:val="000000" w:themeColor="text1"/>
          <w:sz w:val="24"/>
          <w:szCs w:val="24"/>
        </w:rPr>
        <w:t>, Beneficjent może wystąpić do MJWPU 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4D240AD9"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niosku 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0CA6FC6E"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0768EBE0"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7FD304AD"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lastRenderedPageBreak/>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2A9E0802"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xml:space="preserve">, o której mowa w art.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lastRenderedPageBreak/>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55F75BF0"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ofinansowania ze skutkiem natychmiastowym, o czym informuje Beneficjenta w formie pisemnej wraz z uzasadnieniem, jeżeli Beneficjent nie wywiązuje się 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szczególności skierowano wobec Beneficjenta zawiadomienie 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lastRenderedPageBreak/>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7777777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lastRenderedPageBreak/>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60F0F6E7"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4CCFCC95"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i trwałości Projektu.</w:t>
      </w:r>
    </w:p>
    <w:p w14:paraId="7257AEC6" w14:textId="767F5FFF"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1D19D8E1"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C5C7748"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58DEE515"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związanych z realizacją Projektu, 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2D503B4E"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niosku, Beneficjent zaś zobowiązuje się uzupełnić dane 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F34D0DE"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 związku z realizacją Projektu w ramach FEM 2021-2027</w:t>
      </w:r>
      <w:r w:rsidRPr="097C06DF">
        <w:rPr>
          <w:rFonts w:cs="Arial"/>
        </w:rPr>
        <w:t>, który udostępnia dane osobowe innym administratorom według właściwości.</w:t>
      </w:r>
    </w:p>
    <w:p w14:paraId="583DC4D1" w14:textId="0D00AB90"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Każda ze Stron Umowy prowadzi rejestr czynności przetwarzania, o którym mowa 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03799DD0"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 art. 33 RODO, w odniesieniu do danych osobowych udostępnianych w związku z realizacją Projektu Strony </w:t>
      </w:r>
      <w:r>
        <w:rPr>
          <w:rFonts w:cs="Arial"/>
        </w:rPr>
        <w:t xml:space="preserve">Umowy </w:t>
      </w:r>
      <w:r w:rsidR="00DB6A2E" w:rsidRPr="097C06DF">
        <w:rPr>
          <w:rFonts w:cs="Arial"/>
        </w:rPr>
        <w:t>zobowiązują się do wzajemnego informowania 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2BB130E"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6DB8CE03"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współpracują ze sobą w zakresie obsługi wniosków z art. 15-22 RODO o realizację praw osób, których dane dotyczą, w szczególności w odniesieniu do danych osobowych umieszczonych w CST2021.</w:t>
      </w:r>
    </w:p>
    <w:p w14:paraId="11191535" w14:textId="43746867"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oświadczają, że wdrożyły odpowiednie środki techniczne i organizacyjne, zapewniające adekwatny stopień bezpieczeństwa, odpowiadający ryzyku związanemu z przetwarzaniem danych osobowych, o których mowa w art. 32 RODO.</w:t>
      </w:r>
    </w:p>
    <w:p w14:paraId="63D60BDC" w14:textId="73BBD37F" w:rsidR="00FF5CEC" w:rsidRPr="00F73D7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04D6326"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3B2112" w:rsidRPr="00F73D7C">
        <w:rPr>
          <w:rFonts w:cs="Arial"/>
        </w:rPr>
        <w:t>202</w:t>
      </w:r>
      <w:r w:rsidR="009E233B" w:rsidRPr="00F73D7C">
        <w:rPr>
          <w:rFonts w:cs="Arial"/>
        </w:rPr>
        <w:t>2</w:t>
      </w:r>
      <w:r w:rsidR="003B2112" w:rsidRPr="00F73D7C">
        <w:rPr>
          <w:rFonts w:cs="Arial"/>
        </w:rPr>
        <w:t xml:space="preserve"> </w:t>
      </w:r>
      <w:r w:rsidRPr="00F73D7C">
        <w:rPr>
          <w:rFonts w:cs="Arial"/>
        </w:rPr>
        <w:t>r. poz.</w:t>
      </w:r>
      <w:r w:rsidR="003235C2" w:rsidRPr="00F73D7C">
        <w:rPr>
          <w:rFonts w:cs="Arial"/>
        </w:rPr>
        <w:t xml:space="preserve"> </w:t>
      </w:r>
      <w:r w:rsidR="009E233B" w:rsidRPr="00F73D7C">
        <w:rPr>
          <w:rFonts w:cs="Arial"/>
        </w:rPr>
        <w:t>1360</w:t>
      </w:r>
      <w:r w:rsidR="00217074" w:rsidRPr="00F73D7C">
        <w:rPr>
          <w:rFonts w:cs="Arial"/>
        </w:rPr>
        <w:t xml:space="preserve">, 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38B65F56"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rozporządzenia Ministra Finansów z dnia 21 grudnia 2012 r. w sprawie płatności w ramach programów finansowanych z udziałem środków europejskich oraz przekazywania informacji dotyczących tych płatności (Dz. U. z 2021 r. poz. 2081</w:t>
      </w:r>
      <w:r w:rsidR="00724BB2">
        <w:rPr>
          <w:rFonts w:cs="Arial"/>
        </w:rPr>
        <w:t xml:space="preserve">, 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roofErr w:type="gramStart"/>
      <w:r w:rsidRPr="00F73D7C">
        <w:rPr>
          <w:rFonts w:ascii="Arial" w:hAnsi="Arial" w:cs="Arial"/>
          <w:sz w:val="24"/>
          <w:szCs w:val="24"/>
        </w:rPr>
        <w:t>…….</w:t>
      </w:r>
      <w:proofErr w:type="gramEnd"/>
      <w:r w:rsidRPr="00F73D7C">
        <w:rPr>
          <w:rFonts w:ascii="Arial" w:hAnsi="Arial" w:cs="Arial"/>
          <w:sz w:val="24"/>
          <w:szCs w:val="24"/>
        </w:rPr>
        <w:t>.</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lastRenderedPageBreak/>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49BE" w14:textId="77777777" w:rsidR="00A14D30" w:rsidRDefault="00A14D30">
      <w:r>
        <w:separator/>
      </w:r>
    </w:p>
  </w:endnote>
  <w:endnote w:type="continuationSeparator" w:id="0">
    <w:p w14:paraId="4553E27F" w14:textId="77777777" w:rsidR="00A14D30" w:rsidRDefault="00A1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C7F9E" w14:textId="77777777" w:rsidR="00A14D30" w:rsidRDefault="00A14D30">
      <w:r>
        <w:separator/>
      </w:r>
    </w:p>
  </w:footnote>
  <w:footnote w:type="continuationSeparator" w:id="0">
    <w:p w14:paraId="5C790175" w14:textId="77777777" w:rsidR="00A14D30" w:rsidRDefault="00A14D30">
      <w:r>
        <w:continuationSeparator/>
      </w:r>
    </w:p>
  </w:footnote>
  <w:footnote w:id="1">
    <w:p w14:paraId="60EB2D58" w14:textId="5DDE5DFB"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 (z wyłączeniem </w:t>
      </w:r>
      <w:r w:rsidR="00827D1D">
        <w:rPr>
          <w:rFonts w:cs="Arial"/>
          <w:sz w:val="18"/>
          <w:szCs w:val="18"/>
        </w:rPr>
        <w:t>naborów FEMA.02.05-IP.01-001/23</w:t>
      </w:r>
      <w:r>
        <w:rPr>
          <w:rFonts w:cs="Arial"/>
          <w:sz w:val="18"/>
          <w:szCs w:val="18"/>
        </w:rPr>
        <w:t xml:space="preserve"> i </w:t>
      </w:r>
      <w:r w:rsidR="00827D1D">
        <w:rPr>
          <w:rFonts w:cs="Arial"/>
          <w:sz w:val="18"/>
          <w:szCs w:val="18"/>
        </w:rPr>
        <w:t>FEMA.02.04-IP.01.002/23</w:t>
      </w:r>
      <w:r>
        <w:rPr>
          <w:rFonts w:cs="Arial"/>
          <w:sz w:val="18"/>
          <w:szCs w:val="18"/>
        </w:rPr>
        <w:t>).</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xml:space="preserve">, z </w:t>
      </w:r>
      <w:proofErr w:type="spellStart"/>
      <w:r w:rsidR="00245288">
        <w:rPr>
          <w:rFonts w:cs="Arial"/>
          <w:color w:val="000000"/>
          <w:sz w:val="18"/>
          <w:szCs w:val="18"/>
        </w:rPr>
        <w:t>późn</w:t>
      </w:r>
      <w:proofErr w:type="spellEnd"/>
      <w:r w:rsidR="00245288">
        <w:rPr>
          <w:rFonts w:cs="Arial"/>
          <w:color w:val="000000"/>
          <w:sz w:val="18"/>
          <w:szCs w:val="18"/>
        </w:rPr>
        <w:t>.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323016E5"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W uzasadnionych przypadkach możliwe jest wskazanie dodatkowego terminu zakończenia realizacji rzeczowej, 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4"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0"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4"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7"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79"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0"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1"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6"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5"/>
  </w:num>
  <w:num w:numId="2" w16cid:durableId="738331652">
    <w:abstractNumId w:val="31"/>
  </w:num>
  <w:num w:numId="3" w16cid:durableId="319386192">
    <w:abstractNumId w:val="53"/>
  </w:num>
  <w:num w:numId="4" w16cid:durableId="2063164228">
    <w:abstractNumId w:val="5"/>
  </w:num>
  <w:num w:numId="5" w16cid:durableId="156044428">
    <w:abstractNumId w:val="47"/>
  </w:num>
  <w:num w:numId="6" w16cid:durableId="1854108007">
    <w:abstractNumId w:val="37"/>
  </w:num>
  <w:num w:numId="7" w16cid:durableId="657614543">
    <w:abstractNumId w:val="86"/>
  </w:num>
  <w:num w:numId="8" w16cid:durableId="1535848830">
    <w:abstractNumId w:val="26"/>
  </w:num>
  <w:num w:numId="9" w16cid:durableId="1797023383">
    <w:abstractNumId w:val="81"/>
  </w:num>
  <w:num w:numId="10" w16cid:durableId="1225022533">
    <w:abstractNumId w:val="58"/>
  </w:num>
  <w:num w:numId="11" w16cid:durableId="1836453702">
    <w:abstractNumId w:val="61"/>
  </w:num>
  <w:num w:numId="12" w16cid:durableId="723989764">
    <w:abstractNumId w:val="32"/>
  </w:num>
  <w:num w:numId="13" w16cid:durableId="1542203867">
    <w:abstractNumId w:val="4"/>
  </w:num>
  <w:num w:numId="14" w16cid:durableId="1684745943">
    <w:abstractNumId w:val="18"/>
  </w:num>
  <w:num w:numId="15" w16cid:durableId="1010643805">
    <w:abstractNumId w:val="7"/>
  </w:num>
  <w:num w:numId="16" w16cid:durableId="1748843184">
    <w:abstractNumId w:val="59"/>
  </w:num>
  <w:num w:numId="17" w16cid:durableId="2110000566">
    <w:abstractNumId w:val="35"/>
  </w:num>
  <w:num w:numId="18" w16cid:durableId="465972720">
    <w:abstractNumId w:val="75"/>
  </w:num>
  <w:num w:numId="19" w16cid:durableId="1229145649">
    <w:abstractNumId w:val="80"/>
  </w:num>
  <w:num w:numId="20" w16cid:durableId="1042098923">
    <w:abstractNumId w:val="79"/>
  </w:num>
  <w:num w:numId="21" w16cid:durableId="1689870842">
    <w:abstractNumId w:val="78"/>
  </w:num>
  <w:num w:numId="22" w16cid:durableId="894196992">
    <w:abstractNumId w:val="34"/>
  </w:num>
  <w:num w:numId="23" w16cid:durableId="100806621">
    <w:abstractNumId w:val="54"/>
  </w:num>
  <w:num w:numId="24" w16cid:durableId="1471829265">
    <w:abstractNumId w:val="43"/>
  </w:num>
  <w:num w:numId="25" w16cid:durableId="1055936220">
    <w:abstractNumId w:val="25"/>
  </w:num>
  <w:num w:numId="26" w16cid:durableId="1872723128">
    <w:abstractNumId w:val="22"/>
  </w:num>
  <w:num w:numId="27" w16cid:durableId="1906989994">
    <w:abstractNumId w:val="65"/>
  </w:num>
  <w:num w:numId="28" w16cid:durableId="1999188467">
    <w:abstractNumId w:val="42"/>
  </w:num>
  <w:num w:numId="29" w16cid:durableId="953318785">
    <w:abstractNumId w:val="23"/>
  </w:num>
  <w:num w:numId="30" w16cid:durableId="1588491831">
    <w:abstractNumId w:val="48"/>
  </w:num>
  <w:num w:numId="31" w16cid:durableId="132992787">
    <w:abstractNumId w:val="52"/>
  </w:num>
  <w:num w:numId="32" w16cid:durableId="350766505">
    <w:abstractNumId w:val="66"/>
  </w:num>
  <w:num w:numId="33" w16cid:durableId="1225947010">
    <w:abstractNumId w:val="64"/>
  </w:num>
  <w:num w:numId="34" w16cid:durableId="1716126362">
    <w:abstractNumId w:val="50"/>
  </w:num>
  <w:num w:numId="35" w16cid:durableId="1877767341">
    <w:abstractNumId w:val="55"/>
  </w:num>
  <w:num w:numId="36" w16cid:durableId="1049500740">
    <w:abstractNumId w:val="72"/>
  </w:num>
  <w:num w:numId="37" w16cid:durableId="2003658132">
    <w:abstractNumId w:val="39"/>
  </w:num>
  <w:num w:numId="38" w16cid:durableId="451362348">
    <w:abstractNumId w:val="71"/>
  </w:num>
  <w:num w:numId="39" w16cid:durableId="1256283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7"/>
  </w:num>
  <w:num w:numId="41" w16cid:durableId="1554808417">
    <w:abstractNumId w:val="83"/>
  </w:num>
  <w:num w:numId="42" w16cid:durableId="439185194">
    <w:abstractNumId w:val="57"/>
  </w:num>
  <w:num w:numId="43" w16cid:durableId="1077244945">
    <w:abstractNumId w:val="40"/>
  </w:num>
  <w:num w:numId="44" w16cid:durableId="969475386">
    <w:abstractNumId w:val="73"/>
  </w:num>
  <w:num w:numId="45" w16cid:durableId="1702167940">
    <w:abstractNumId w:val="6"/>
  </w:num>
  <w:num w:numId="46" w16cid:durableId="1091467182">
    <w:abstractNumId w:val="21"/>
  </w:num>
  <w:num w:numId="47" w16cid:durableId="382678211">
    <w:abstractNumId w:val="33"/>
  </w:num>
  <w:num w:numId="48" w16cid:durableId="279387294">
    <w:abstractNumId w:val="27"/>
  </w:num>
  <w:num w:numId="49" w16cid:durableId="112754399">
    <w:abstractNumId w:val="13"/>
  </w:num>
  <w:num w:numId="50" w16cid:durableId="1797486077">
    <w:abstractNumId w:val="84"/>
  </w:num>
  <w:num w:numId="51" w16cid:durableId="222564189">
    <w:abstractNumId w:val="46"/>
  </w:num>
  <w:num w:numId="52" w16cid:durableId="1987734934">
    <w:abstractNumId w:val="16"/>
  </w:num>
  <w:num w:numId="53" w16cid:durableId="1838105404">
    <w:abstractNumId w:val="29"/>
  </w:num>
  <w:num w:numId="54" w16cid:durableId="1410886577">
    <w:abstractNumId w:val="68"/>
  </w:num>
  <w:num w:numId="55" w16cid:durableId="12661562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9"/>
  </w:num>
  <w:num w:numId="61" w16cid:durableId="424694188">
    <w:abstractNumId w:val="51"/>
  </w:num>
  <w:num w:numId="62" w16cid:durableId="184055979">
    <w:abstractNumId w:val="14"/>
  </w:num>
  <w:num w:numId="63" w16cid:durableId="154339688">
    <w:abstractNumId w:val="62"/>
  </w:num>
  <w:num w:numId="64" w16cid:durableId="1524630294">
    <w:abstractNumId w:val="45"/>
  </w:num>
  <w:num w:numId="65" w16cid:durableId="1331173380">
    <w:abstractNumId w:val="44"/>
  </w:num>
  <w:num w:numId="66" w16cid:durableId="1652562678">
    <w:abstractNumId w:val="67"/>
  </w:num>
  <w:num w:numId="67" w16cid:durableId="499976255">
    <w:abstractNumId w:val="74"/>
  </w:num>
  <w:num w:numId="68" w16cid:durableId="586616514">
    <w:abstractNumId w:val="30"/>
  </w:num>
  <w:num w:numId="69" w16cid:durableId="18240047">
    <w:abstractNumId w:val="9"/>
  </w:num>
  <w:num w:numId="70" w16cid:durableId="53283197">
    <w:abstractNumId w:val="12"/>
  </w:num>
  <w:num w:numId="71" w16cid:durableId="95178639">
    <w:abstractNumId w:val="38"/>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4"/>
  </w:num>
  <w:num w:numId="78" w16cid:durableId="435365262">
    <w:abstractNumId w:val="11"/>
  </w:num>
  <w:num w:numId="79" w16cid:durableId="42260389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70"/>
  </w:num>
  <w:num w:numId="81" w16cid:durableId="395324991">
    <w:abstractNumId w:val="82"/>
  </w:num>
  <w:num w:numId="82" w16cid:durableId="14994243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6"/>
  </w:num>
  <w:num w:numId="84" w16cid:durableId="1135610129">
    <w:abstractNumId w:val="10"/>
  </w:num>
  <w:num w:numId="85" w16cid:durableId="229193682">
    <w:abstractNumId w:val="17"/>
  </w:num>
  <w:num w:numId="86" w16cid:durableId="1450200802">
    <w:abstractNumId w:val="1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552"/>
    <w:rsid w:val="0020085D"/>
    <w:rsid w:val="00201B3D"/>
    <w:rsid w:val="00201B56"/>
    <w:rsid w:val="00201CD1"/>
    <w:rsid w:val="00202363"/>
    <w:rsid w:val="002024A1"/>
    <w:rsid w:val="002025E1"/>
    <w:rsid w:val="002027F8"/>
    <w:rsid w:val="00202D20"/>
    <w:rsid w:val="002030A6"/>
    <w:rsid w:val="0020333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A20"/>
    <w:rsid w:val="002D5AA7"/>
    <w:rsid w:val="002D5CFB"/>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customXml/itemProps4.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37</Pages>
  <Words>14984</Words>
  <Characters>89905</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Ulatowska Anna</cp:lastModifiedBy>
  <cp:revision>20</cp:revision>
  <cp:lastPrinted>2023-04-17T11:43:00Z</cp:lastPrinted>
  <dcterms:created xsi:type="dcterms:W3CDTF">2023-05-11T07:35:00Z</dcterms:created>
  <dcterms:modified xsi:type="dcterms:W3CDTF">2023-05-23T08:14:00Z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